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1DA1" w14:textId="77777777" w:rsidR="001777D4" w:rsidRPr="001777D4" w:rsidRDefault="001777D4" w:rsidP="001777D4">
      <w:pPr>
        <w:pStyle w:val="NoSpacing"/>
        <w:rPr>
          <w:rFonts w:ascii="Arial" w:hAnsi="Arial" w:cs="Arial"/>
          <w:b/>
          <w:sz w:val="40"/>
          <w:szCs w:val="40"/>
        </w:rPr>
      </w:pPr>
      <w:r w:rsidRPr="001777D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D6198" wp14:editId="6CD5D00B">
                <wp:simplePos x="0" y="0"/>
                <wp:positionH relativeFrom="column">
                  <wp:posOffset>4396740</wp:posOffset>
                </wp:positionH>
                <wp:positionV relativeFrom="paragraph">
                  <wp:posOffset>-91440</wp:posOffset>
                </wp:positionV>
                <wp:extent cx="2491740" cy="868680"/>
                <wp:effectExtent l="0" t="3810" r="0" b="3810"/>
                <wp:wrapNone/>
                <wp:docPr id="1952244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51CA" w14:textId="77777777" w:rsidR="001777D4" w:rsidRDefault="001777D4" w:rsidP="001777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F0D00" wp14:editId="0FC295C4">
                                  <wp:extent cx="2204806" cy="664210"/>
                                  <wp:effectExtent l="0" t="0" r="0" b="0"/>
                                  <wp:docPr id="2" name="Picture 1" descr="Green text on a black background&#10;&#10;Description automatically generated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Green text on a black background&#10;&#10;Description automatically generated">
                                            <a:hlinkClick r:id="rId5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989" cy="667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D6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2pt;margin-top:-7.2pt;width:196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" stroked="f">
                <v:textbox>
                  <w:txbxContent>
                    <w:p w14:paraId="765B51CA" w14:textId="77777777" w:rsidR="001777D4" w:rsidRDefault="001777D4" w:rsidP="001777D4">
                      <w:r>
                        <w:rPr>
                          <w:noProof/>
                        </w:rPr>
                        <w:drawing>
                          <wp:inline distT="0" distB="0" distL="0" distR="0" wp14:anchorId="2B9F0D00" wp14:editId="0FC295C4">
                            <wp:extent cx="2204806" cy="664210"/>
                            <wp:effectExtent l="0" t="0" r="0" b="0"/>
                            <wp:docPr id="2" name="Picture 1" descr="Green text on a black background&#10;&#10;Description automatically generated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Green text on a black background&#10;&#10;Description automatically generated">
                                      <a:hlinkClick r:id="rId7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989" cy="667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77D4">
        <w:rPr>
          <w:rFonts w:ascii="Arial" w:hAnsi="Arial" w:cs="Arial"/>
          <w:b/>
          <w:sz w:val="40"/>
          <w:szCs w:val="40"/>
        </w:rPr>
        <w:t>Senior Post Closer</w:t>
      </w:r>
    </w:p>
    <w:p w14:paraId="6A25B46B" w14:textId="173CA99C" w:rsidR="001777D4" w:rsidRDefault="001777D4" w:rsidP="001777D4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Mortgage Closing</w:t>
      </w:r>
    </w:p>
    <w:p w14:paraId="438749B5" w14:textId="77777777" w:rsidR="001777D4" w:rsidRPr="000D7C01" w:rsidRDefault="001777D4" w:rsidP="001777D4">
      <w:pPr>
        <w:pStyle w:val="NoSpacing"/>
        <w:rPr>
          <w:rFonts w:ascii="Arial" w:hAnsi="Arial" w:cs="Arial"/>
          <w:bCs/>
          <w:i/>
          <w:iCs/>
          <w:sz w:val="18"/>
          <w:szCs w:val="18"/>
        </w:rPr>
      </w:pPr>
      <w:r w:rsidRPr="000D7C01">
        <w:rPr>
          <w:rFonts w:ascii="Arial" w:hAnsi="Arial" w:cs="Arial"/>
          <w:bCs/>
          <w:i/>
          <w:iCs/>
          <w:sz w:val="18"/>
          <w:szCs w:val="18"/>
        </w:rPr>
        <w:t>Effective: 1/2025</w:t>
      </w:r>
    </w:p>
    <w:p w14:paraId="3823809E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4509FB66" w14:textId="77777777" w:rsidR="001777D4" w:rsidRPr="003A7940" w:rsidRDefault="001777D4" w:rsidP="001777D4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W</w:t>
      </w:r>
      <w:r w:rsidRPr="00FB52AE">
        <w:rPr>
          <w:rFonts w:ascii="Arial" w:hAnsi="Arial" w:cs="Arial"/>
          <w:b/>
          <w:bCs/>
          <w:i/>
          <w:sz w:val="18"/>
          <w:szCs w:val="18"/>
        </w:rPr>
        <w:t>aukesha State Bank Profile</w:t>
      </w:r>
      <w:r w:rsidRPr="00FB52AE">
        <w:rPr>
          <w:rFonts w:ascii="Arial" w:hAnsi="Arial" w:cs="Arial"/>
          <w:i/>
          <w:sz w:val="18"/>
          <w:szCs w:val="18"/>
        </w:rPr>
        <w:t>: Waukesha State Bank is one of the largest locally owned and independent community banks in Wisconsin, with 14 full-service offices located throughout Waukesha County. Our strength as a successful and growing financial services provider is rooted in a long-standing commitment to serving the community with a personalized, one-on-one approach to banking and an emphasis on customer service. We provide a broad array of products and services to assist businesses and individuals in achieving long-term financial goals, such as commercial &amp; small business lending, retail banking, residential mortgage lending, investment services and wealth management services. We also have t</w:t>
      </w:r>
      <w:r>
        <w:rPr>
          <w:rFonts w:ascii="Arial" w:hAnsi="Arial" w:cs="Arial"/>
          <w:i/>
          <w:sz w:val="18"/>
          <w:szCs w:val="18"/>
        </w:rPr>
        <w:t>hree</w:t>
      </w:r>
      <w:r w:rsidRPr="00FB52AE">
        <w:rPr>
          <w:rFonts w:ascii="Arial" w:hAnsi="Arial" w:cs="Arial"/>
          <w:i/>
          <w:sz w:val="18"/>
          <w:szCs w:val="18"/>
        </w:rPr>
        <w:t xml:space="preserve"> divisions, Payroll Complete, offering payroll processing services, Prairie Trust, offering trust and estate services</w:t>
      </w:r>
      <w:r>
        <w:rPr>
          <w:rFonts w:ascii="Arial" w:hAnsi="Arial" w:cs="Arial"/>
          <w:i/>
          <w:sz w:val="18"/>
          <w:szCs w:val="18"/>
        </w:rPr>
        <w:t xml:space="preserve">, and Waukesha Investments, </w:t>
      </w:r>
      <w:r w:rsidRPr="003A7940">
        <w:rPr>
          <w:rFonts w:ascii="Arial" w:hAnsi="Arial" w:cs="Arial"/>
          <w:i/>
          <w:sz w:val="18"/>
          <w:szCs w:val="18"/>
        </w:rPr>
        <w:t>offering financial and retirement planning services</w:t>
      </w:r>
    </w:p>
    <w:p w14:paraId="2AFE5544" w14:textId="77777777" w:rsidR="001777D4" w:rsidRPr="005D253D" w:rsidRDefault="001777D4" w:rsidP="001777D4">
      <w:pPr>
        <w:pStyle w:val="NoSpacing"/>
        <w:rPr>
          <w:rFonts w:ascii="Arial" w:hAnsi="Arial" w:cs="Arial"/>
          <w:sz w:val="20"/>
          <w:szCs w:val="20"/>
        </w:rPr>
      </w:pPr>
    </w:p>
    <w:p w14:paraId="7AAD75EC" w14:textId="1AFC2ECC" w:rsidR="00FB666A" w:rsidRPr="00FB666A" w:rsidRDefault="001777D4" w:rsidP="00FB666A">
      <w:pPr>
        <w:pStyle w:val="NoSpacing"/>
        <w:rPr>
          <w:rFonts w:ascii="Arial" w:hAnsi="Arial" w:cs="Arial"/>
          <w:sz w:val="20"/>
          <w:szCs w:val="20"/>
        </w:rPr>
      </w:pPr>
      <w:r w:rsidRPr="00971785">
        <w:rPr>
          <w:rFonts w:ascii="Arial" w:hAnsi="Arial" w:cs="Arial"/>
          <w:b/>
          <w:sz w:val="20"/>
          <w:szCs w:val="20"/>
        </w:rPr>
        <w:t>Position Summary:</w:t>
      </w:r>
      <w:r w:rsidRPr="00971785">
        <w:rPr>
          <w:rFonts w:ascii="Arial" w:hAnsi="Arial" w:cs="Arial"/>
          <w:sz w:val="20"/>
          <w:szCs w:val="20"/>
        </w:rPr>
        <w:t xml:space="preserve"> </w:t>
      </w:r>
      <w:r w:rsidR="00FB666A" w:rsidRPr="00FB666A">
        <w:rPr>
          <w:rFonts w:ascii="Arial" w:hAnsi="Arial" w:cs="Arial"/>
          <w:sz w:val="20"/>
          <w:szCs w:val="20"/>
        </w:rPr>
        <w:t>The Senior Post Closer is responsible for ensuring the timely and accurate completion of residential mortgage loan closings, overseeing post-closing activities, supporting secondary market operations, re-verifying loans for accuracy and logging in compliance with HMDA and mortgage regulations</w:t>
      </w:r>
      <w:r w:rsidR="00FB666A">
        <w:rPr>
          <w:rFonts w:ascii="Arial" w:hAnsi="Arial" w:cs="Arial"/>
          <w:sz w:val="20"/>
          <w:szCs w:val="20"/>
        </w:rPr>
        <w:t>.</w:t>
      </w:r>
      <w:r w:rsidR="00FB666A" w:rsidRPr="00FB666A">
        <w:rPr>
          <w:rFonts w:ascii="Arial" w:hAnsi="Arial" w:cs="Arial"/>
          <w:sz w:val="20"/>
          <w:szCs w:val="20"/>
        </w:rPr>
        <w:t> The Senior Post Closer should have mortgage experience with the ability to learn</w:t>
      </w:r>
      <w:r w:rsidR="00FB666A">
        <w:rPr>
          <w:rFonts w:ascii="Arial" w:hAnsi="Arial" w:cs="Arial"/>
          <w:sz w:val="20"/>
          <w:szCs w:val="20"/>
        </w:rPr>
        <w:t xml:space="preserve"> new processes and systems</w:t>
      </w:r>
      <w:r w:rsidR="00FB666A" w:rsidRPr="00FB666A">
        <w:rPr>
          <w:rFonts w:ascii="Arial" w:hAnsi="Arial" w:cs="Arial"/>
          <w:sz w:val="20"/>
          <w:szCs w:val="20"/>
        </w:rPr>
        <w:t xml:space="preserve"> quickly.  The ideal candidate must have excellent accuracy and attention-to-detail skills, organizational and time management skills, be motivated to complete repetitive tasks, as well as an ability to update procedures and mentor others.  </w:t>
      </w:r>
    </w:p>
    <w:p w14:paraId="2D48D659" w14:textId="6B91C9A8" w:rsidR="001777D4" w:rsidRPr="00971785" w:rsidRDefault="001777D4" w:rsidP="00FB666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6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831"/>
        <w:gridCol w:w="1794"/>
        <w:gridCol w:w="3452"/>
      </w:tblGrid>
      <w:tr w:rsidR="001777D4" w:rsidRPr="0015368C" w14:paraId="19D36829" w14:textId="77777777" w:rsidTr="005C4A48">
        <w:trPr>
          <w:trHeight w:val="205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E53E900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3831" w:type="dxa"/>
            <w:shd w:val="clear" w:color="auto" w:fill="auto"/>
            <w:noWrap/>
            <w:vAlign w:val="bottom"/>
            <w:hideMark/>
          </w:tcPr>
          <w:p w14:paraId="541E8894" w14:textId="300B40F0" w:rsidR="001777D4" w:rsidRPr="00FB58D0" w:rsidRDefault="00C30A93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 Closing Supervisor/Secondary Market Risk Specialist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326A7EF7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Schedule:</w:t>
            </w:r>
          </w:p>
        </w:tc>
        <w:tc>
          <w:tcPr>
            <w:tcW w:w="3452" w:type="dxa"/>
            <w:shd w:val="clear" w:color="auto" w:fill="auto"/>
            <w:noWrap/>
            <w:vAlign w:val="bottom"/>
            <w:hideMark/>
          </w:tcPr>
          <w:p w14:paraId="3A95A478" w14:textId="77777777" w:rsidR="001777D4" w:rsidRPr="00FB58D0" w:rsidRDefault="001777D4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hAnsi="Arial" w:cs="Arial"/>
                <w:b/>
                <w:bCs/>
                <w:sz w:val="20"/>
                <w:szCs w:val="20"/>
              </w:rPr>
              <w:t>8:00 AM – 5:00 PM</w:t>
            </w:r>
          </w:p>
        </w:tc>
      </w:tr>
      <w:tr w:rsidR="001777D4" w:rsidRPr="0015368C" w14:paraId="1129A35C" w14:textId="77777777" w:rsidTr="005C4A48">
        <w:trPr>
          <w:trHeight w:val="198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E4FBB31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FLSA Status:</w:t>
            </w:r>
          </w:p>
        </w:tc>
        <w:tc>
          <w:tcPr>
            <w:tcW w:w="3831" w:type="dxa"/>
            <w:shd w:val="clear" w:color="auto" w:fill="auto"/>
            <w:noWrap/>
            <w:vAlign w:val="bottom"/>
            <w:hideMark/>
          </w:tcPr>
          <w:p w14:paraId="33CD3FE3" w14:textId="2D44551C" w:rsidR="001777D4" w:rsidRPr="00FB58D0" w:rsidRDefault="001777D4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Non-Exempt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6418AF52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Model:</w:t>
            </w:r>
          </w:p>
        </w:tc>
        <w:tc>
          <w:tcPr>
            <w:tcW w:w="3452" w:type="dxa"/>
            <w:shd w:val="clear" w:color="auto" w:fill="auto"/>
            <w:noWrap/>
            <w:vAlign w:val="bottom"/>
            <w:hideMark/>
          </w:tcPr>
          <w:p w14:paraId="220ABE0C" w14:textId="75C643B2" w:rsidR="001777D4" w:rsidRPr="00FB58D0" w:rsidRDefault="00FB58D0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Onsite</w:t>
            </w:r>
          </w:p>
        </w:tc>
      </w:tr>
      <w:tr w:rsidR="001777D4" w:rsidRPr="0015368C" w14:paraId="79ECFD42" w14:textId="77777777" w:rsidTr="005C4A48">
        <w:trPr>
          <w:trHeight w:val="207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056CC177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Status/Hours:</w:t>
            </w:r>
          </w:p>
        </w:tc>
        <w:tc>
          <w:tcPr>
            <w:tcW w:w="3831" w:type="dxa"/>
            <w:shd w:val="clear" w:color="auto" w:fill="auto"/>
            <w:noWrap/>
            <w:vAlign w:val="bottom"/>
            <w:hideMark/>
          </w:tcPr>
          <w:p w14:paraId="384698D2" w14:textId="3181E153" w:rsidR="001777D4" w:rsidRPr="00FB58D0" w:rsidRDefault="001777D4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Full</w:t>
            </w:r>
            <w:r w:rsidR="00FB58D0" w:rsidRPr="00FB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</w:t>
            </w:r>
            <w:r w:rsidRPr="00FB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Time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076178AC" w14:textId="77777777" w:rsidR="001777D4" w:rsidRPr="0015368C" w:rsidRDefault="001777D4" w:rsidP="005C4A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3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 Required</w:t>
            </w:r>
            <w:r w:rsidRPr="009717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452" w:type="dxa"/>
            <w:shd w:val="clear" w:color="auto" w:fill="auto"/>
            <w:noWrap/>
            <w:vAlign w:val="bottom"/>
            <w:hideMark/>
          </w:tcPr>
          <w:p w14:paraId="415F23CB" w14:textId="5220025E" w:rsidR="001777D4" w:rsidRPr="00FB58D0" w:rsidRDefault="001777D4" w:rsidP="005C4A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5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</w:tbl>
    <w:p w14:paraId="13BCB701" w14:textId="77777777" w:rsidR="001777D4" w:rsidRPr="00971785" w:rsidRDefault="001777D4" w:rsidP="001777D4">
      <w:pPr>
        <w:pStyle w:val="NoSpacing"/>
        <w:rPr>
          <w:rFonts w:ascii="Arial" w:hAnsi="Arial" w:cs="Arial"/>
          <w:sz w:val="20"/>
          <w:szCs w:val="20"/>
        </w:rPr>
      </w:pPr>
    </w:p>
    <w:p w14:paraId="49C555BD" w14:textId="1B21DF5C" w:rsidR="001777D4" w:rsidRPr="00592565" w:rsidRDefault="00235A59" w:rsidP="001777D4">
      <w:pPr>
        <w:pStyle w:val="NoSpacing"/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b/>
          <w:sz w:val="20"/>
          <w:szCs w:val="20"/>
        </w:rPr>
        <w:t xml:space="preserve">Post-Closing </w:t>
      </w:r>
      <w:r w:rsidR="001777D4" w:rsidRPr="00592565">
        <w:rPr>
          <w:rFonts w:ascii="Arial" w:hAnsi="Arial" w:cs="Arial"/>
          <w:b/>
          <w:sz w:val="20"/>
          <w:szCs w:val="20"/>
        </w:rPr>
        <w:t>Responsibilities</w:t>
      </w:r>
      <w:r w:rsidR="001777D4" w:rsidRPr="00592565">
        <w:rPr>
          <w:rFonts w:ascii="Arial" w:hAnsi="Arial" w:cs="Arial"/>
          <w:sz w:val="20"/>
          <w:szCs w:val="20"/>
        </w:rPr>
        <w:t>:</w:t>
      </w:r>
    </w:p>
    <w:p w14:paraId="1C1CDB5F" w14:textId="4B434004" w:rsidR="001777D4" w:rsidRPr="00592565" w:rsidRDefault="001777D4" w:rsidP="001777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Upload documents to </w:t>
      </w:r>
      <w:proofErr w:type="gramStart"/>
      <w:r w:rsidRPr="00592565">
        <w:rPr>
          <w:rFonts w:ascii="Arial" w:hAnsi="Arial" w:cs="Arial"/>
          <w:sz w:val="20"/>
          <w:szCs w:val="20"/>
        </w:rPr>
        <w:t>electronic</w:t>
      </w:r>
      <w:proofErr w:type="gramEnd"/>
      <w:r w:rsidRPr="00592565">
        <w:rPr>
          <w:rFonts w:ascii="Arial" w:hAnsi="Arial" w:cs="Arial"/>
          <w:sz w:val="20"/>
          <w:szCs w:val="20"/>
        </w:rPr>
        <w:t xml:space="preserve"> document system</w:t>
      </w:r>
      <w:r w:rsidR="007C6F4A" w:rsidRPr="00592565">
        <w:rPr>
          <w:rFonts w:ascii="Arial" w:hAnsi="Arial" w:cs="Arial"/>
          <w:sz w:val="20"/>
          <w:szCs w:val="20"/>
        </w:rPr>
        <w:t xml:space="preserve"> </w:t>
      </w:r>
      <w:r w:rsidR="00FB58D0" w:rsidRPr="00592565">
        <w:rPr>
          <w:rFonts w:ascii="Arial" w:hAnsi="Arial" w:cs="Arial"/>
          <w:sz w:val="20"/>
          <w:szCs w:val="20"/>
        </w:rPr>
        <w:t>(</w:t>
      </w:r>
      <w:r w:rsidR="007C6F4A" w:rsidRPr="00592565">
        <w:rPr>
          <w:rFonts w:ascii="Arial" w:hAnsi="Arial" w:cs="Arial"/>
          <w:sz w:val="20"/>
          <w:szCs w:val="20"/>
        </w:rPr>
        <w:t>Imageflow</w:t>
      </w:r>
      <w:r w:rsidRPr="00592565">
        <w:rPr>
          <w:rFonts w:ascii="Arial" w:hAnsi="Arial" w:cs="Arial"/>
          <w:sz w:val="20"/>
          <w:szCs w:val="20"/>
        </w:rPr>
        <w:t>)</w:t>
      </w:r>
      <w:r w:rsidR="00FB666A">
        <w:rPr>
          <w:rFonts w:ascii="Arial" w:hAnsi="Arial" w:cs="Arial"/>
          <w:sz w:val="20"/>
          <w:szCs w:val="20"/>
        </w:rPr>
        <w:t xml:space="preserve"> and utilize the system to organize the documents electronically.  </w:t>
      </w:r>
      <w:r w:rsidR="00FB666A" w:rsidRPr="00592565">
        <w:rPr>
          <w:rFonts w:ascii="Arial" w:hAnsi="Arial" w:cs="Arial"/>
          <w:sz w:val="20"/>
          <w:szCs w:val="20"/>
        </w:rPr>
        <w:t>Compile TIF and PDF files to network drives and other applicable systems.</w:t>
      </w:r>
    </w:p>
    <w:p w14:paraId="1A189E3C" w14:textId="170ABC9F" w:rsidR="001777D4" w:rsidRPr="00592565" w:rsidRDefault="001777D4" w:rsidP="001777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Monitor electronic signatures o</w:t>
      </w:r>
      <w:r w:rsidR="007C6F4A" w:rsidRPr="00592565">
        <w:rPr>
          <w:rFonts w:ascii="Arial" w:hAnsi="Arial" w:cs="Arial"/>
          <w:sz w:val="20"/>
          <w:szCs w:val="20"/>
        </w:rPr>
        <w:t>n</w:t>
      </w:r>
      <w:r w:rsidRPr="00592565">
        <w:rPr>
          <w:rFonts w:ascii="Arial" w:hAnsi="Arial" w:cs="Arial"/>
          <w:sz w:val="20"/>
          <w:szCs w:val="20"/>
        </w:rPr>
        <w:t xml:space="preserve"> documents and verify documents are signed in accordance with </w:t>
      </w:r>
      <w:r w:rsidR="00B17585" w:rsidRPr="00316E86">
        <w:rPr>
          <w:rFonts w:ascii="Arial" w:hAnsi="Arial" w:cs="Arial"/>
          <w:sz w:val="20"/>
          <w:szCs w:val="20"/>
        </w:rPr>
        <w:t xml:space="preserve">compliance </w:t>
      </w:r>
      <w:r w:rsidRPr="00592565">
        <w:rPr>
          <w:rFonts w:ascii="Arial" w:hAnsi="Arial" w:cs="Arial"/>
          <w:sz w:val="20"/>
          <w:szCs w:val="20"/>
        </w:rPr>
        <w:t>requirements.</w:t>
      </w:r>
    </w:p>
    <w:p w14:paraId="394686ED" w14:textId="71E53A81" w:rsidR="001777D4" w:rsidRPr="00592565" w:rsidRDefault="001777D4" w:rsidP="001777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Check online and physical closing documents for accuracy</w:t>
      </w:r>
      <w:r w:rsidR="00FB66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666A">
        <w:rPr>
          <w:rFonts w:ascii="Arial" w:hAnsi="Arial" w:cs="Arial"/>
          <w:sz w:val="20"/>
          <w:szCs w:val="20"/>
        </w:rPr>
        <w:t>pre</w:t>
      </w:r>
      <w:proofErr w:type="gramEnd"/>
      <w:r w:rsidR="00FB666A">
        <w:rPr>
          <w:rFonts w:ascii="Arial" w:hAnsi="Arial" w:cs="Arial"/>
          <w:sz w:val="20"/>
          <w:szCs w:val="20"/>
        </w:rPr>
        <w:t xml:space="preserve"> and post-closing.</w:t>
      </w:r>
    </w:p>
    <w:p w14:paraId="2B8A971F" w14:textId="7790E15E" w:rsidR="001777D4" w:rsidRDefault="001777D4" w:rsidP="00FB66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Perform </w:t>
      </w:r>
      <w:r w:rsidR="007C6F4A" w:rsidRPr="00592565">
        <w:rPr>
          <w:rFonts w:ascii="Arial" w:hAnsi="Arial" w:cs="Arial"/>
          <w:sz w:val="20"/>
          <w:szCs w:val="20"/>
        </w:rPr>
        <w:t xml:space="preserve">daily logging of </w:t>
      </w:r>
      <w:r w:rsidRPr="00592565">
        <w:rPr>
          <w:rFonts w:ascii="Arial" w:hAnsi="Arial" w:cs="Arial"/>
          <w:sz w:val="20"/>
          <w:szCs w:val="20"/>
        </w:rPr>
        <w:t>HMDA (Home Mortgage Disclosure Act) loan</w:t>
      </w:r>
      <w:r w:rsidR="007C6F4A" w:rsidRPr="00592565">
        <w:rPr>
          <w:rFonts w:ascii="Arial" w:hAnsi="Arial" w:cs="Arial"/>
          <w:sz w:val="20"/>
          <w:szCs w:val="20"/>
        </w:rPr>
        <w:t>s</w:t>
      </w:r>
      <w:r w:rsidRPr="00592565">
        <w:rPr>
          <w:rFonts w:ascii="Arial" w:hAnsi="Arial" w:cs="Arial"/>
          <w:sz w:val="20"/>
          <w:szCs w:val="20"/>
        </w:rPr>
        <w:t>.</w:t>
      </w:r>
    </w:p>
    <w:p w14:paraId="09C54988" w14:textId="24B76A63" w:rsidR="00FB666A" w:rsidRPr="00FB666A" w:rsidRDefault="00FB666A" w:rsidP="00FB666A">
      <w:pPr>
        <w:numPr>
          <w:ilvl w:val="0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5F0D26">
        <w:rPr>
          <w:rFonts w:ascii="Arial" w:eastAsia="Times New Roman" w:hAnsi="Arial" w:cs="Arial"/>
          <w:sz w:val="20"/>
          <w:szCs w:val="20"/>
          <w:lang w:eastAsia="ar-SA"/>
        </w:rPr>
        <w:t>Enter Debit/Credit transactions in</w:t>
      </w:r>
      <w:r>
        <w:rPr>
          <w:rFonts w:ascii="Arial" w:eastAsia="Times New Roman" w:hAnsi="Arial" w:cs="Arial"/>
          <w:sz w:val="20"/>
          <w:szCs w:val="20"/>
          <w:lang w:eastAsia="ar-SA"/>
        </w:rPr>
        <w:t>to WSB’s core banking General Ledger System (</w:t>
      </w:r>
      <w:r w:rsidRPr="005F0D26">
        <w:rPr>
          <w:rFonts w:ascii="Arial" w:eastAsia="Times New Roman" w:hAnsi="Arial" w:cs="Arial"/>
          <w:sz w:val="20"/>
          <w:szCs w:val="20"/>
          <w:lang w:eastAsia="ar-SA"/>
        </w:rPr>
        <w:t>Fiserv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- Navigator</w:t>
      </w:r>
      <w:r w:rsidRPr="005F0D26">
        <w:rPr>
          <w:rFonts w:ascii="Arial" w:eastAsia="Times New Roman" w:hAnsi="Arial" w:cs="Arial"/>
          <w:sz w:val="20"/>
          <w:szCs w:val="20"/>
          <w:lang w:eastAsia="ar-SA"/>
        </w:rPr>
        <w:t>) with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F0D26">
        <w:rPr>
          <w:rFonts w:ascii="Arial" w:eastAsia="Times New Roman" w:hAnsi="Arial" w:cs="Arial"/>
          <w:sz w:val="20"/>
          <w:szCs w:val="20"/>
          <w:lang w:eastAsia="ar-SA"/>
        </w:rPr>
        <w:t>appropriate coding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and reconciliation.</w:t>
      </w:r>
    </w:p>
    <w:p w14:paraId="7ED44D36" w14:textId="77777777" w:rsidR="001777D4" w:rsidRPr="00592565" w:rsidRDefault="001777D4" w:rsidP="001777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Send documents to appropriate counties to be recorded.</w:t>
      </w:r>
    </w:p>
    <w:p w14:paraId="31A2FF5D" w14:textId="69912CAE" w:rsidR="001777D4" w:rsidRPr="00592565" w:rsidRDefault="001777D4" w:rsidP="001777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Track and send final title policies to the proper locations.  </w:t>
      </w:r>
    </w:p>
    <w:p w14:paraId="7AE52AF8" w14:textId="2078D093" w:rsidR="001777D4" w:rsidRPr="00FB666A" w:rsidRDefault="001777D4" w:rsidP="00FB66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Onboard loans to Navigator (Fiserv system).</w:t>
      </w:r>
    </w:p>
    <w:p w14:paraId="2F7B90A3" w14:textId="77777777" w:rsidR="007C6F4A" w:rsidRPr="00592565" w:rsidRDefault="007C6F4A" w:rsidP="00235A59">
      <w:pPr>
        <w:suppressAutoHyphens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5EC606F" w14:textId="198C1E85" w:rsidR="00235A59" w:rsidRDefault="00235A59" w:rsidP="00235A59">
      <w:pPr>
        <w:suppressAutoHyphens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9256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Senior Responsibilities:</w:t>
      </w:r>
    </w:p>
    <w:p w14:paraId="14E131B7" w14:textId="5EA077B4" w:rsidR="00FB666A" w:rsidRPr="00FB666A" w:rsidRDefault="00CA233F" w:rsidP="00FB666A">
      <w:pPr>
        <w:pStyle w:val="ListParagraph"/>
        <w:numPr>
          <w:ilvl w:val="0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CA233F">
        <w:rPr>
          <w:rFonts w:ascii="Arial" w:eastAsia="Times New Roman" w:hAnsi="Arial" w:cs="Arial"/>
          <w:sz w:val="20"/>
          <w:szCs w:val="20"/>
          <w:lang w:eastAsia="ar-SA"/>
        </w:rPr>
        <w:t>Oversee the Post Closing pipeline – ensuring compliance with internal &amp; external standards.</w:t>
      </w:r>
    </w:p>
    <w:p w14:paraId="3A2CE31A" w14:textId="5F096168" w:rsidR="00FB666A" w:rsidRPr="00FB666A" w:rsidRDefault="00FB666A" w:rsidP="00FB666A">
      <w:pPr>
        <w:numPr>
          <w:ilvl w:val="1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592565">
        <w:rPr>
          <w:rFonts w:ascii="Arial" w:eastAsia="Times New Roman" w:hAnsi="Arial" w:cs="Arial"/>
          <w:sz w:val="20"/>
          <w:szCs w:val="20"/>
          <w:lang w:eastAsia="ar-SA"/>
        </w:rPr>
        <w:t>Assist</w:t>
      </w:r>
      <w:r>
        <w:rPr>
          <w:rFonts w:ascii="Arial" w:eastAsia="Times New Roman" w:hAnsi="Arial" w:cs="Arial"/>
          <w:sz w:val="20"/>
          <w:szCs w:val="20"/>
          <w:lang w:eastAsia="ar-SA"/>
        </w:rPr>
        <w:t>ing</w:t>
      </w:r>
      <w:r w:rsidRPr="00592565">
        <w:rPr>
          <w:rFonts w:ascii="Arial" w:eastAsia="Times New Roman" w:hAnsi="Arial" w:cs="Arial"/>
          <w:sz w:val="20"/>
          <w:szCs w:val="20"/>
          <w:lang w:eastAsia="ar-SA"/>
        </w:rPr>
        <w:t xml:space="preserve"> in deliver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5925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of </w:t>
      </w:r>
      <w:r w:rsidRPr="00592565">
        <w:rPr>
          <w:rFonts w:ascii="Arial" w:eastAsia="Times New Roman" w:hAnsi="Arial" w:cs="Arial"/>
          <w:sz w:val="20"/>
          <w:szCs w:val="20"/>
          <w:lang w:eastAsia="ar-SA"/>
        </w:rPr>
        <w:t>loans to secondary market investors.</w:t>
      </w:r>
    </w:p>
    <w:p w14:paraId="0F06A785" w14:textId="0D555DA8" w:rsidR="00FB666A" w:rsidRDefault="00FB666A" w:rsidP="00FB666A">
      <w:pPr>
        <w:pStyle w:val="ListParagraph"/>
        <w:numPr>
          <w:ilvl w:val="1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592565">
        <w:rPr>
          <w:rFonts w:ascii="Arial" w:hAnsi="Arial" w:cs="Arial"/>
          <w:sz w:val="20"/>
          <w:szCs w:val="20"/>
        </w:rPr>
        <w:t>Resolv</w:t>
      </w:r>
      <w:r>
        <w:rPr>
          <w:rFonts w:ascii="Arial" w:hAnsi="Arial" w:cs="Arial"/>
          <w:sz w:val="20"/>
          <w:szCs w:val="20"/>
        </w:rPr>
        <w:t>ing</w:t>
      </w:r>
      <w:r w:rsidRPr="00592565">
        <w:rPr>
          <w:rFonts w:ascii="Arial" w:hAnsi="Arial" w:cs="Arial"/>
          <w:sz w:val="20"/>
          <w:szCs w:val="20"/>
        </w:rPr>
        <w:t xml:space="preserve"> title issues </w:t>
      </w:r>
      <w:r>
        <w:rPr>
          <w:rFonts w:ascii="Arial" w:hAnsi="Arial" w:cs="Arial"/>
          <w:sz w:val="20"/>
          <w:szCs w:val="20"/>
        </w:rPr>
        <w:t xml:space="preserve">with appropriate </w:t>
      </w:r>
      <w:r w:rsidRPr="00592565">
        <w:rPr>
          <w:rFonts w:ascii="Arial" w:hAnsi="Arial" w:cs="Arial"/>
          <w:sz w:val="20"/>
          <w:szCs w:val="20"/>
        </w:rPr>
        <w:t>follow up with investors.</w:t>
      </w:r>
    </w:p>
    <w:p w14:paraId="2B39B8E7" w14:textId="582C527E" w:rsidR="00CA233F" w:rsidRDefault="00CA233F" w:rsidP="00CA233F">
      <w:pPr>
        <w:pStyle w:val="ListParagraph"/>
        <w:numPr>
          <w:ilvl w:val="0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Ensure the timely &amp; accurate completion of residential mortgage loan closings</w:t>
      </w:r>
      <w:r w:rsidR="00FB666A">
        <w:rPr>
          <w:rFonts w:ascii="Arial" w:eastAsia="Times New Roman" w:hAnsi="Arial" w:cs="Arial"/>
          <w:sz w:val="20"/>
          <w:szCs w:val="20"/>
          <w:lang w:eastAsia="ar-SA"/>
        </w:rPr>
        <w:t xml:space="preserve"> and verify loans are complying with TILA and </w:t>
      </w:r>
      <w:proofErr w:type="spellStart"/>
      <w:r w:rsidR="00FB666A">
        <w:rPr>
          <w:rFonts w:ascii="Arial" w:eastAsia="Times New Roman" w:hAnsi="Arial" w:cs="Arial"/>
          <w:sz w:val="20"/>
          <w:szCs w:val="20"/>
          <w:lang w:eastAsia="ar-SA"/>
        </w:rPr>
        <w:t>RegX</w:t>
      </w:r>
      <w:proofErr w:type="spellEnd"/>
      <w:r w:rsidR="00FB666A">
        <w:rPr>
          <w:rFonts w:ascii="Arial" w:eastAsia="Times New Roman" w:hAnsi="Arial" w:cs="Arial"/>
          <w:sz w:val="20"/>
          <w:szCs w:val="20"/>
          <w:lang w:eastAsia="ar-SA"/>
        </w:rPr>
        <w:t xml:space="preserve"> requirements.</w:t>
      </w:r>
    </w:p>
    <w:p w14:paraId="4BEE7A06" w14:textId="180F4C16" w:rsidR="00FB666A" w:rsidRPr="00FB666A" w:rsidRDefault="00FB666A" w:rsidP="00FB666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233F">
        <w:rPr>
          <w:rFonts w:ascii="Arial" w:hAnsi="Arial" w:cs="Arial"/>
          <w:sz w:val="20"/>
          <w:szCs w:val="20"/>
        </w:rPr>
        <w:t>Stay current with mortgage industry updates and regulatory guidelines – ensuring post-closing policies and procedures are current.</w:t>
      </w:r>
    </w:p>
    <w:p w14:paraId="23DFEF12" w14:textId="1F58408B" w:rsidR="00CA233F" w:rsidRDefault="00CA233F" w:rsidP="00CA233F">
      <w:pPr>
        <w:pStyle w:val="ListParagraph"/>
        <w:numPr>
          <w:ilvl w:val="0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Support Secondary Market Operations including:</w:t>
      </w:r>
    </w:p>
    <w:p w14:paraId="698EF801" w14:textId="4C773FFE" w:rsidR="00FB666A" w:rsidRDefault="00FB666A" w:rsidP="00FB666A">
      <w:pPr>
        <w:pStyle w:val="ListParagraph"/>
        <w:numPr>
          <w:ilvl w:val="1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Investor knowledge and staying current with regulations</w:t>
      </w:r>
    </w:p>
    <w:p w14:paraId="3AA3E7E2" w14:textId="792BE726" w:rsidR="00FB666A" w:rsidRDefault="00FB666A" w:rsidP="00FB666A">
      <w:pPr>
        <w:pStyle w:val="ListParagraph"/>
        <w:numPr>
          <w:ilvl w:val="1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Locking and pricing and hedging loans</w:t>
      </w:r>
    </w:p>
    <w:p w14:paraId="3B067F54" w14:textId="253F9B2E" w:rsidR="00FB666A" w:rsidRPr="00FB666A" w:rsidRDefault="00FB666A" w:rsidP="00FB666A">
      <w:pPr>
        <w:pStyle w:val="ListParagraph"/>
        <w:numPr>
          <w:ilvl w:val="1"/>
          <w:numId w:val="5"/>
        </w:num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Stay current by reading daily updates from investors, and attending training and webinars as needed.</w:t>
      </w:r>
    </w:p>
    <w:p w14:paraId="53E3EE69" w14:textId="77777777" w:rsidR="00CA233F" w:rsidRPr="00FB666A" w:rsidRDefault="00CA233F" w:rsidP="00FB66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B666A">
        <w:rPr>
          <w:rFonts w:ascii="Arial" w:eastAsia="Times New Roman" w:hAnsi="Arial" w:cs="Arial"/>
          <w:sz w:val="20"/>
          <w:szCs w:val="20"/>
          <w:lang w:eastAsia="ar-SA"/>
        </w:rPr>
        <w:t>Gather and produce documentation for Mortgage Loan Extensions and Renewals.</w:t>
      </w:r>
    </w:p>
    <w:p w14:paraId="7A5F4085" w14:textId="4BFCE44D" w:rsidR="00B17585" w:rsidRPr="00316E86" w:rsidRDefault="00B17585" w:rsidP="00B1758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16E86">
        <w:rPr>
          <w:rFonts w:ascii="Arial" w:eastAsia="Times New Roman" w:hAnsi="Arial" w:cs="Arial"/>
          <w:sz w:val="20"/>
          <w:szCs w:val="20"/>
          <w:lang w:eastAsia="ar-SA"/>
        </w:rPr>
        <w:t>Create and update templates for the electronic document system - updating checklists as changes occur</w:t>
      </w:r>
      <w:r w:rsidR="00FB666A">
        <w:rPr>
          <w:rFonts w:ascii="Arial" w:eastAsia="Times New Roman" w:hAnsi="Arial" w:cs="Arial"/>
          <w:sz w:val="20"/>
          <w:szCs w:val="20"/>
          <w:lang w:eastAsia="ar-SA"/>
        </w:rPr>
        <w:t xml:space="preserve"> and updating and creating new document categories and bundles are needed</w:t>
      </w:r>
      <w:r w:rsidRPr="00316E8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BD5DB29" w14:textId="47302F7F" w:rsidR="00235A59" w:rsidRPr="00592565" w:rsidRDefault="00235A59" w:rsidP="00235A5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Mentor </w:t>
      </w:r>
      <w:r w:rsidR="00FB666A">
        <w:rPr>
          <w:rFonts w:ascii="Arial" w:hAnsi="Arial" w:cs="Arial"/>
          <w:sz w:val="20"/>
          <w:szCs w:val="20"/>
        </w:rPr>
        <w:t>and train n</w:t>
      </w:r>
      <w:r w:rsidRPr="00592565">
        <w:rPr>
          <w:rFonts w:ascii="Arial" w:hAnsi="Arial" w:cs="Arial"/>
          <w:sz w:val="20"/>
          <w:szCs w:val="20"/>
        </w:rPr>
        <w:t xml:space="preserve">ew </w:t>
      </w:r>
      <w:r w:rsidR="00FB666A">
        <w:rPr>
          <w:rFonts w:ascii="Arial" w:hAnsi="Arial" w:cs="Arial"/>
          <w:sz w:val="20"/>
          <w:szCs w:val="20"/>
        </w:rPr>
        <w:t>h</w:t>
      </w:r>
      <w:r w:rsidRPr="00592565">
        <w:rPr>
          <w:rFonts w:ascii="Arial" w:hAnsi="Arial" w:cs="Arial"/>
          <w:sz w:val="20"/>
          <w:szCs w:val="20"/>
        </w:rPr>
        <w:t>ires.</w:t>
      </w:r>
    </w:p>
    <w:p w14:paraId="730172AF" w14:textId="77777777" w:rsidR="001777D4" w:rsidRPr="00592565" w:rsidRDefault="001777D4" w:rsidP="001777D4">
      <w:pPr>
        <w:numPr>
          <w:ilvl w:val="0"/>
          <w:numId w:val="3"/>
        </w:numPr>
        <w:tabs>
          <w:tab w:val="left" w:pos="438"/>
        </w:tabs>
        <w:rPr>
          <w:rFonts w:ascii="Arial" w:eastAsia="Times New Roman" w:hAnsi="Arial" w:cs="Arial"/>
          <w:sz w:val="20"/>
          <w:szCs w:val="20"/>
        </w:rPr>
      </w:pPr>
      <w:bookmarkStart w:id="0" w:name="_Hlk188957933"/>
      <w:r w:rsidRPr="00592565">
        <w:rPr>
          <w:rFonts w:ascii="Arial" w:eastAsia="Times New Roman" w:hAnsi="Arial" w:cs="Arial"/>
          <w:sz w:val="20"/>
          <w:szCs w:val="20"/>
        </w:rPr>
        <w:t>Perform any additional projects, tasks or ongoing responsibilities as assigned.</w:t>
      </w:r>
    </w:p>
    <w:bookmarkEnd w:id="0"/>
    <w:p w14:paraId="199998FD" w14:textId="77777777" w:rsidR="001777D4" w:rsidRPr="00592565" w:rsidRDefault="001777D4" w:rsidP="001777D4">
      <w:pPr>
        <w:pStyle w:val="NoSpacing"/>
        <w:rPr>
          <w:rFonts w:ascii="Arial" w:hAnsi="Arial" w:cs="Arial"/>
          <w:sz w:val="20"/>
          <w:szCs w:val="20"/>
        </w:rPr>
      </w:pPr>
    </w:p>
    <w:p w14:paraId="348EEDAA" w14:textId="77777777" w:rsidR="001777D4" w:rsidRPr="00592565" w:rsidRDefault="001777D4" w:rsidP="001777D4">
      <w:pPr>
        <w:pStyle w:val="NoSpacing"/>
        <w:rPr>
          <w:rFonts w:ascii="Arial" w:hAnsi="Arial" w:cs="Arial"/>
          <w:b/>
          <w:sz w:val="20"/>
          <w:szCs w:val="20"/>
        </w:rPr>
      </w:pPr>
      <w:r w:rsidRPr="00592565">
        <w:rPr>
          <w:rFonts w:ascii="Arial" w:hAnsi="Arial" w:cs="Arial"/>
          <w:b/>
          <w:sz w:val="20"/>
          <w:szCs w:val="20"/>
        </w:rPr>
        <w:t>Qualifications &amp; Skills:</w:t>
      </w:r>
    </w:p>
    <w:p w14:paraId="147AE926" w14:textId="54441252" w:rsidR="007C6F4A" w:rsidRPr="00592565" w:rsidRDefault="007C6F4A" w:rsidP="007C6F4A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3 years’ recent experience in the residential mortgage industry</w:t>
      </w:r>
      <w:r w:rsidR="005F0D26">
        <w:rPr>
          <w:rFonts w:ascii="Arial" w:hAnsi="Arial" w:cs="Arial"/>
          <w:sz w:val="20"/>
          <w:szCs w:val="20"/>
        </w:rPr>
        <w:t xml:space="preserve"> and mortgage loan documentation.</w:t>
      </w:r>
    </w:p>
    <w:p w14:paraId="22EE15D0" w14:textId="2726F9C5" w:rsidR="00B17585" w:rsidRDefault="00592565" w:rsidP="0059256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General </w:t>
      </w:r>
      <w:r>
        <w:rPr>
          <w:rFonts w:ascii="Arial" w:hAnsi="Arial" w:cs="Arial"/>
          <w:sz w:val="20"/>
          <w:szCs w:val="20"/>
        </w:rPr>
        <w:t>k</w:t>
      </w:r>
      <w:r w:rsidRPr="00592565">
        <w:rPr>
          <w:rFonts w:ascii="Arial" w:hAnsi="Arial" w:cs="Arial"/>
          <w:sz w:val="20"/>
          <w:szCs w:val="20"/>
        </w:rPr>
        <w:t xml:space="preserve">nowledge of </w:t>
      </w:r>
      <w:r w:rsidR="00B17585">
        <w:rPr>
          <w:rFonts w:ascii="Arial" w:hAnsi="Arial" w:cs="Arial"/>
          <w:sz w:val="20"/>
          <w:szCs w:val="20"/>
        </w:rPr>
        <w:t>Secondary Market Investors</w:t>
      </w:r>
    </w:p>
    <w:p w14:paraId="435EE53D" w14:textId="43B398E7" w:rsidR="00592565" w:rsidRPr="00592565" w:rsidRDefault="00592565" w:rsidP="00B17585">
      <w:pPr>
        <w:pStyle w:val="NoSpacing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 xml:space="preserve">Fannie Mae, Freddie Mac, </w:t>
      </w:r>
      <w:r w:rsidRPr="00316E86">
        <w:rPr>
          <w:rFonts w:ascii="Arial" w:hAnsi="Arial" w:cs="Arial"/>
          <w:sz w:val="20"/>
          <w:szCs w:val="20"/>
        </w:rPr>
        <w:t>FHLB (</w:t>
      </w:r>
      <w:proofErr w:type="spellStart"/>
      <w:r w:rsidRPr="00316E86">
        <w:rPr>
          <w:rFonts w:ascii="Arial" w:hAnsi="Arial" w:cs="Arial"/>
          <w:sz w:val="20"/>
          <w:szCs w:val="20"/>
        </w:rPr>
        <w:t>eMPF</w:t>
      </w:r>
      <w:proofErr w:type="spellEnd"/>
      <w:r w:rsidRPr="00316E86">
        <w:rPr>
          <w:rFonts w:ascii="Arial" w:hAnsi="Arial" w:cs="Arial"/>
          <w:sz w:val="20"/>
          <w:szCs w:val="20"/>
        </w:rPr>
        <w:t xml:space="preserve">), </w:t>
      </w:r>
      <w:r w:rsidR="00B17585" w:rsidRPr="00316E86">
        <w:rPr>
          <w:rFonts w:ascii="Arial" w:hAnsi="Arial" w:cs="Arial"/>
          <w:sz w:val="20"/>
          <w:szCs w:val="20"/>
        </w:rPr>
        <w:t>WHEDA, or</w:t>
      </w:r>
      <w:r w:rsidRPr="00316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E86">
        <w:rPr>
          <w:rFonts w:ascii="Arial" w:hAnsi="Arial" w:cs="Arial"/>
          <w:sz w:val="20"/>
          <w:szCs w:val="20"/>
        </w:rPr>
        <w:t>NewRez</w:t>
      </w:r>
      <w:proofErr w:type="spellEnd"/>
    </w:p>
    <w:p w14:paraId="054E04CE" w14:textId="378DA10A" w:rsidR="00592565" w:rsidRPr="005F0D26" w:rsidRDefault="00592565" w:rsidP="00592565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592565">
        <w:rPr>
          <w:rFonts w:ascii="Arial" w:eastAsia="Times New Roman" w:hAnsi="Arial" w:cs="Arial"/>
          <w:bCs/>
          <w:sz w:val="20"/>
          <w:szCs w:val="20"/>
        </w:rPr>
        <w:t>Experience with MortgageBot, Imageflow, Optimal Blue, Web Director, PDF editors and/or Fiserv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592565">
        <w:rPr>
          <w:rFonts w:ascii="Arial" w:eastAsia="Times New Roman" w:hAnsi="Arial" w:cs="Arial"/>
          <w:bCs/>
          <w:sz w:val="20"/>
          <w:szCs w:val="20"/>
        </w:rPr>
        <w:t xml:space="preserve"> is a plus!</w:t>
      </w:r>
    </w:p>
    <w:p w14:paraId="0800E1FB" w14:textId="260B2E29" w:rsidR="005F0D26" w:rsidRPr="00FB666A" w:rsidRDefault="005F0D26" w:rsidP="00592565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Intermediate Microsoft Excel skills.</w:t>
      </w:r>
    </w:p>
    <w:p w14:paraId="1CD1D30B" w14:textId="75B11D25" w:rsidR="00FB666A" w:rsidRPr="005F0D26" w:rsidRDefault="00FB666A" w:rsidP="00592565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Able to learn new software quickly and independently.</w:t>
      </w:r>
    </w:p>
    <w:p w14:paraId="31E2A01A" w14:textId="6D4A867E" w:rsidR="005F0D26" w:rsidRPr="00592565" w:rsidRDefault="005F0D26" w:rsidP="00592565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Ability to balance accounts, 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troubleshoot</w:t>
      </w:r>
      <w:proofErr w:type="gramEnd"/>
      <w:r>
        <w:rPr>
          <w:rFonts w:ascii="Arial" w:eastAsia="Times New Roman" w:hAnsi="Arial" w:cs="Arial"/>
          <w:bCs/>
          <w:sz w:val="20"/>
          <w:szCs w:val="20"/>
        </w:rPr>
        <w:t xml:space="preserve"> and resolve discrepancies.</w:t>
      </w:r>
    </w:p>
    <w:p w14:paraId="427F332E" w14:textId="0AB30598" w:rsidR="001777D4" w:rsidRPr="00592565" w:rsidRDefault="007C6F4A" w:rsidP="001777D4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Ability to learn new technology quickly</w:t>
      </w:r>
      <w:r w:rsidR="001777D4" w:rsidRPr="00592565">
        <w:rPr>
          <w:rFonts w:ascii="Arial" w:hAnsi="Arial" w:cs="Arial"/>
          <w:sz w:val="20"/>
          <w:szCs w:val="20"/>
        </w:rPr>
        <w:t>.</w:t>
      </w:r>
    </w:p>
    <w:p w14:paraId="3802E358" w14:textId="1D786079" w:rsidR="001777D4" w:rsidRPr="00592565" w:rsidRDefault="001777D4" w:rsidP="001777D4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Strong time-management skills and ability to organize</w:t>
      </w:r>
      <w:r w:rsidR="00B17585">
        <w:rPr>
          <w:rFonts w:ascii="Arial" w:hAnsi="Arial" w:cs="Arial"/>
          <w:sz w:val="20"/>
          <w:szCs w:val="20"/>
        </w:rPr>
        <w:t>,</w:t>
      </w:r>
      <w:r w:rsidRPr="00592565">
        <w:rPr>
          <w:rFonts w:ascii="Arial" w:hAnsi="Arial" w:cs="Arial"/>
          <w:sz w:val="20"/>
          <w:szCs w:val="20"/>
        </w:rPr>
        <w:t xml:space="preserve"> prioritize</w:t>
      </w:r>
      <w:r w:rsidR="00B17585">
        <w:rPr>
          <w:rFonts w:ascii="Arial" w:hAnsi="Arial" w:cs="Arial"/>
          <w:sz w:val="20"/>
          <w:szCs w:val="20"/>
        </w:rPr>
        <w:t>,</w:t>
      </w:r>
      <w:r w:rsidRPr="00592565">
        <w:rPr>
          <w:rFonts w:ascii="Arial" w:hAnsi="Arial" w:cs="Arial"/>
          <w:sz w:val="20"/>
          <w:szCs w:val="20"/>
        </w:rPr>
        <w:t xml:space="preserve"> </w:t>
      </w:r>
      <w:r w:rsidRPr="00316E86">
        <w:rPr>
          <w:rFonts w:ascii="Arial" w:hAnsi="Arial" w:cs="Arial"/>
          <w:sz w:val="20"/>
          <w:szCs w:val="20"/>
        </w:rPr>
        <w:t xml:space="preserve">and </w:t>
      </w:r>
      <w:r w:rsidR="00B17585" w:rsidRPr="00316E86">
        <w:rPr>
          <w:rFonts w:ascii="Arial" w:hAnsi="Arial" w:cs="Arial"/>
          <w:sz w:val="20"/>
          <w:szCs w:val="20"/>
        </w:rPr>
        <w:t>bounce between</w:t>
      </w:r>
      <w:r w:rsidRPr="00316E86">
        <w:rPr>
          <w:rFonts w:ascii="Arial" w:hAnsi="Arial" w:cs="Arial"/>
          <w:sz w:val="20"/>
          <w:szCs w:val="20"/>
        </w:rPr>
        <w:t xml:space="preserve"> multiple </w:t>
      </w:r>
      <w:r w:rsidRPr="00592565">
        <w:rPr>
          <w:rFonts w:ascii="Arial" w:hAnsi="Arial" w:cs="Arial"/>
          <w:sz w:val="20"/>
          <w:szCs w:val="20"/>
        </w:rPr>
        <w:t>tasks.</w:t>
      </w:r>
    </w:p>
    <w:p w14:paraId="61D880F5" w14:textId="14B25DD2" w:rsidR="001777D4" w:rsidRPr="00592565" w:rsidRDefault="001777D4" w:rsidP="001777D4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565">
        <w:rPr>
          <w:rFonts w:ascii="Arial" w:hAnsi="Arial" w:cs="Arial"/>
          <w:sz w:val="20"/>
          <w:szCs w:val="20"/>
        </w:rPr>
        <w:t>Strong attention</w:t>
      </w:r>
      <w:r w:rsidR="007C6F4A" w:rsidRPr="00592565">
        <w:rPr>
          <w:rFonts w:ascii="Arial" w:hAnsi="Arial" w:cs="Arial"/>
          <w:sz w:val="20"/>
          <w:szCs w:val="20"/>
        </w:rPr>
        <w:t>-</w:t>
      </w:r>
      <w:r w:rsidRPr="00592565">
        <w:rPr>
          <w:rFonts w:ascii="Arial" w:hAnsi="Arial" w:cs="Arial"/>
          <w:sz w:val="20"/>
          <w:szCs w:val="20"/>
        </w:rPr>
        <w:t>to</w:t>
      </w:r>
      <w:r w:rsidR="007C6F4A" w:rsidRPr="00592565">
        <w:rPr>
          <w:rFonts w:ascii="Arial" w:hAnsi="Arial" w:cs="Arial"/>
          <w:sz w:val="20"/>
          <w:szCs w:val="20"/>
        </w:rPr>
        <w:t>-</w:t>
      </w:r>
      <w:r w:rsidRPr="00592565">
        <w:rPr>
          <w:rFonts w:ascii="Arial" w:hAnsi="Arial" w:cs="Arial"/>
          <w:sz w:val="20"/>
          <w:szCs w:val="20"/>
        </w:rPr>
        <w:t>detail and commitment to high quality</w:t>
      </w:r>
      <w:r w:rsidR="007C6F4A" w:rsidRPr="00592565">
        <w:rPr>
          <w:rFonts w:ascii="Arial" w:hAnsi="Arial" w:cs="Arial"/>
          <w:sz w:val="20"/>
          <w:szCs w:val="20"/>
        </w:rPr>
        <w:t xml:space="preserve"> work</w:t>
      </w:r>
      <w:r w:rsidRPr="00592565">
        <w:rPr>
          <w:rFonts w:ascii="Arial" w:hAnsi="Arial" w:cs="Arial"/>
          <w:sz w:val="20"/>
          <w:szCs w:val="20"/>
        </w:rPr>
        <w:t>.</w:t>
      </w:r>
    </w:p>
    <w:p w14:paraId="03EBF4EC" w14:textId="77777777" w:rsidR="001777D4" w:rsidRPr="00592565" w:rsidRDefault="001777D4" w:rsidP="001777D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592565">
        <w:rPr>
          <w:rFonts w:ascii="Arial" w:hAnsi="Arial" w:cs="Arial"/>
          <w:sz w:val="20"/>
          <w:szCs w:val="20"/>
        </w:rPr>
        <w:t>Desire</w:t>
      </w:r>
      <w:proofErr w:type="gramEnd"/>
      <w:r w:rsidRPr="00592565">
        <w:rPr>
          <w:rFonts w:ascii="Arial" w:hAnsi="Arial" w:cs="Arial"/>
          <w:sz w:val="20"/>
          <w:szCs w:val="20"/>
        </w:rPr>
        <w:t xml:space="preserve"> to work in community bank environment and always represent WSB in a professional and ethical manner</w:t>
      </w:r>
    </w:p>
    <w:p w14:paraId="00312912" w14:textId="77777777" w:rsidR="00592565" w:rsidRDefault="00592565" w:rsidP="001777D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A1505A5" w14:textId="77777777" w:rsidR="009E6C82" w:rsidRDefault="009E6C82" w:rsidP="001777D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9B91A8" w14:textId="59562D4F" w:rsidR="001777D4" w:rsidRPr="00592565" w:rsidRDefault="001777D4" w:rsidP="001777D4">
      <w:pPr>
        <w:pStyle w:val="NoSpacing"/>
        <w:rPr>
          <w:rFonts w:ascii="Arial" w:hAnsi="Arial" w:cs="Arial"/>
          <w:b/>
          <w:sz w:val="20"/>
          <w:szCs w:val="20"/>
        </w:rPr>
      </w:pPr>
      <w:r w:rsidRPr="00592565">
        <w:rPr>
          <w:rFonts w:ascii="Arial" w:hAnsi="Arial" w:cs="Arial"/>
          <w:b/>
          <w:sz w:val="20"/>
          <w:szCs w:val="20"/>
        </w:rPr>
        <w:t>Additional Requirements:</w:t>
      </w:r>
    </w:p>
    <w:p w14:paraId="3B2F948D" w14:textId="77777777" w:rsidR="001777D4" w:rsidRPr="00592565" w:rsidRDefault="001777D4" w:rsidP="001777D4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Cs/>
          <w:sz w:val="20"/>
          <w:szCs w:val="20"/>
        </w:rPr>
      </w:pPr>
      <w:r w:rsidRPr="00592565">
        <w:rPr>
          <w:rFonts w:ascii="Arial" w:hAnsi="Arial" w:cs="Arial"/>
          <w:bCs/>
          <w:sz w:val="20"/>
          <w:szCs w:val="20"/>
        </w:rPr>
        <w:t xml:space="preserve">Employment with Waukesha State Bank is contingent upon successful completion of </w:t>
      </w:r>
      <w:proofErr w:type="gramStart"/>
      <w:r w:rsidRPr="00592565">
        <w:rPr>
          <w:rFonts w:ascii="Arial" w:hAnsi="Arial" w:cs="Arial"/>
          <w:bCs/>
          <w:sz w:val="20"/>
          <w:szCs w:val="20"/>
        </w:rPr>
        <w:t>a criminal</w:t>
      </w:r>
      <w:proofErr w:type="gramEnd"/>
      <w:r w:rsidRPr="00592565">
        <w:rPr>
          <w:rFonts w:ascii="Arial" w:hAnsi="Arial" w:cs="Arial"/>
          <w:bCs/>
          <w:sz w:val="20"/>
          <w:szCs w:val="20"/>
        </w:rPr>
        <w:t xml:space="preserve"> background check and drug screen.</w:t>
      </w:r>
    </w:p>
    <w:p w14:paraId="649A0875" w14:textId="77777777" w:rsidR="001777D4" w:rsidRPr="00592565" w:rsidRDefault="001777D4" w:rsidP="001777D4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tbl>
      <w:tblPr>
        <w:tblW w:w="10582" w:type="dxa"/>
        <w:tblInd w:w="118" w:type="dxa"/>
        <w:tblLook w:val="04A0" w:firstRow="1" w:lastRow="0" w:firstColumn="1" w:lastColumn="0" w:noHBand="0" w:noVBand="1"/>
      </w:tblPr>
      <w:tblGrid>
        <w:gridCol w:w="1852"/>
        <w:gridCol w:w="8730"/>
      </w:tblGrid>
      <w:tr w:rsidR="00592565" w:rsidRPr="00592565" w14:paraId="64AA5323" w14:textId="77777777" w:rsidTr="005C4A48">
        <w:trPr>
          <w:trHeight w:val="1960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365D8" w14:textId="77777777" w:rsidR="001777D4" w:rsidRPr="00592565" w:rsidRDefault="001777D4" w:rsidP="005C4A4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9256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Physical Demands</w:t>
            </w:r>
          </w:p>
        </w:tc>
        <w:tc>
          <w:tcPr>
            <w:tcW w:w="8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8A6D42E" w14:textId="77777777" w:rsidR="001777D4" w:rsidRPr="00592565" w:rsidRDefault="001777D4" w:rsidP="005C4A48">
            <w:pPr>
              <w:pStyle w:val="NoSpacing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The physical demands described here are representative of those that must be met by an employee to successfully perform the essential functions of this job. Reasonable </w:t>
            </w:r>
            <w:proofErr w:type="gramStart"/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accommodations</w:t>
            </w:r>
            <w:proofErr w:type="gramEnd"/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may be made to enable individuals with disabilities to perform the essential functions.</w:t>
            </w:r>
          </w:p>
          <w:p w14:paraId="2326B1D8" w14:textId="77777777" w:rsidR="001777D4" w:rsidRPr="00592565" w:rsidRDefault="001777D4" w:rsidP="005C4A48">
            <w:pPr>
              <w:pStyle w:val="NoSpacing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1E8169BD" w14:textId="77777777" w:rsidR="001777D4" w:rsidRPr="00592565" w:rsidRDefault="001777D4" w:rsidP="005C4A48">
            <w:pPr>
              <w:pStyle w:val="NoSpacing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While performing the duties of this job, the employee is frequently required to sit, talk or hear via phone or in person; and use hands to handle, or touch objects or controls such as a keyboard. The employee is occasionally required to stand or walk. On occasion the incumbent may be required to stoop, bend, kneel or squat. The employee must occasionally </w:t>
            </w:r>
            <w:proofErr w:type="gramStart"/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lift up</w:t>
            </w:r>
            <w:proofErr w:type="gramEnd"/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to 25 pounds.  Specific vision abilities required by this job include close vision, color vision, depth perception, and ability to adjust focus.</w:t>
            </w:r>
          </w:p>
          <w:p w14:paraId="65C228F6" w14:textId="77777777" w:rsidR="001777D4" w:rsidRPr="00592565" w:rsidRDefault="001777D4" w:rsidP="005C4A48">
            <w:pPr>
              <w:pStyle w:val="NoSpacing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92565" w:rsidRPr="00592565" w14:paraId="50DC35A5" w14:textId="77777777" w:rsidTr="005C4A48">
        <w:trPr>
          <w:trHeight w:val="352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444386" w14:textId="77777777" w:rsidR="001777D4" w:rsidRPr="00592565" w:rsidRDefault="001777D4" w:rsidP="005C4A4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9256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Work Environment</w:t>
            </w:r>
          </w:p>
        </w:tc>
        <w:tc>
          <w:tcPr>
            <w:tcW w:w="873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F5567" w14:textId="77777777" w:rsidR="001777D4" w:rsidRPr="00592565" w:rsidRDefault="001777D4" w:rsidP="005C4A48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256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Only those present in a normal office setting, no known significant hazards. </w:t>
            </w:r>
          </w:p>
        </w:tc>
      </w:tr>
    </w:tbl>
    <w:p w14:paraId="2B02E3FE" w14:textId="77777777" w:rsidR="001777D4" w:rsidRPr="00592565" w:rsidRDefault="001777D4" w:rsidP="001777D4">
      <w:pPr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19240E5C" w14:textId="77777777" w:rsidR="00FE250A" w:rsidRDefault="00FE250A" w:rsidP="001777D4">
      <w:pPr>
        <w:pStyle w:val="NoSpacing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14:paraId="28F15414" w14:textId="34F0E8E9" w:rsidR="001777D4" w:rsidRPr="009E6C82" w:rsidRDefault="001777D4" w:rsidP="001777D4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  <w:r w:rsidRPr="009E6C82">
        <w:rPr>
          <w:rFonts w:ascii="Arial" w:eastAsia="Times New Roman" w:hAnsi="Arial" w:cs="Arial"/>
          <w:i/>
          <w:iCs/>
          <w:sz w:val="18"/>
          <w:szCs w:val="18"/>
        </w:rPr>
        <w:t>The above statement reflects the general details necessary to describe the principal functions of the occupation described and shall not be construed as a detailed description of all the work that may be inherent in the occupation.</w:t>
      </w:r>
    </w:p>
    <w:p w14:paraId="4D333DB6" w14:textId="77777777" w:rsidR="001777D4" w:rsidRDefault="001777D4" w:rsidP="001777D4">
      <w:pPr>
        <w:pStyle w:val="NoSpacing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057EE236" w14:textId="77777777" w:rsidR="009E6C82" w:rsidRPr="00592565" w:rsidRDefault="009E6C82" w:rsidP="001777D4">
      <w:pPr>
        <w:pStyle w:val="NoSpacing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5FCB45E2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</w:rPr>
      </w:pPr>
    </w:p>
    <w:p w14:paraId="1444E02C" w14:textId="77777777" w:rsidR="001777D4" w:rsidRPr="00592565" w:rsidRDefault="001777D4" w:rsidP="001777D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592565">
        <w:rPr>
          <w:rFonts w:ascii="Arial" w:hAnsi="Arial" w:cs="Arial"/>
          <w:b/>
          <w:sz w:val="18"/>
          <w:szCs w:val="18"/>
        </w:rPr>
        <w:t>This is an onsite position in Waukesha, WI</w:t>
      </w:r>
    </w:p>
    <w:p w14:paraId="3158AF22" w14:textId="77777777" w:rsidR="001777D4" w:rsidRPr="00592565" w:rsidRDefault="001777D4" w:rsidP="001777D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592565">
        <w:rPr>
          <w:rFonts w:ascii="Arial" w:hAnsi="Arial" w:cs="Arial"/>
          <w:b/>
          <w:sz w:val="18"/>
          <w:szCs w:val="18"/>
        </w:rPr>
        <w:t xml:space="preserve">Employment with Waukesha State Bank is contingent upon successful completion of </w:t>
      </w:r>
      <w:proofErr w:type="gramStart"/>
      <w:r w:rsidRPr="00592565">
        <w:rPr>
          <w:rFonts w:ascii="Arial" w:hAnsi="Arial" w:cs="Arial"/>
          <w:b/>
          <w:sz w:val="18"/>
          <w:szCs w:val="18"/>
        </w:rPr>
        <w:t>a criminal</w:t>
      </w:r>
      <w:proofErr w:type="gramEnd"/>
      <w:r w:rsidRPr="00592565">
        <w:rPr>
          <w:rFonts w:ascii="Arial" w:hAnsi="Arial" w:cs="Arial"/>
          <w:b/>
          <w:sz w:val="18"/>
          <w:szCs w:val="18"/>
        </w:rPr>
        <w:t xml:space="preserve"> background check and drug screen.</w:t>
      </w:r>
    </w:p>
    <w:p w14:paraId="32437934" w14:textId="77777777" w:rsidR="001777D4" w:rsidRPr="00592565" w:rsidRDefault="001777D4" w:rsidP="001777D4">
      <w:pPr>
        <w:pStyle w:val="NoSpacing"/>
        <w:spacing w:after="120"/>
        <w:jc w:val="center"/>
        <w:rPr>
          <w:rFonts w:ascii="Arial" w:hAnsi="Arial" w:cs="Arial"/>
          <w:b/>
          <w:sz w:val="18"/>
          <w:szCs w:val="18"/>
          <w:lang w:val="en"/>
        </w:rPr>
      </w:pPr>
      <w:r w:rsidRPr="00592565">
        <w:rPr>
          <w:rFonts w:ascii="Arial" w:hAnsi="Arial" w:cs="Arial"/>
          <w:b/>
          <w:sz w:val="18"/>
          <w:szCs w:val="18"/>
          <w:lang w:val="en"/>
        </w:rPr>
        <w:t>All qualified applicants will receive consideration for employment without regard to race, color, religion, sex, sexual orientation, gender identity, national origin, and veteran or disability status.</w:t>
      </w:r>
    </w:p>
    <w:p w14:paraId="618D8F2A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0EBA1ED8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153DFD1E" w14:textId="77777777" w:rsidR="001777D4" w:rsidRPr="00592565" w:rsidRDefault="001777D4" w:rsidP="001777D4">
      <w:pPr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592565">
        <w:rPr>
          <w:rFonts w:ascii="Arial" w:eastAsia="Times New Roman" w:hAnsi="Arial" w:cs="Arial"/>
          <w:b/>
          <w:bCs/>
          <w:i/>
          <w:sz w:val="18"/>
          <w:szCs w:val="18"/>
        </w:rPr>
        <w:t>Internal Use Only:</w:t>
      </w:r>
    </w:p>
    <w:tbl>
      <w:tblPr>
        <w:tblW w:w="10710" w:type="dxa"/>
        <w:tblInd w:w="-5" w:type="dxa"/>
        <w:tblLook w:val="04A0" w:firstRow="1" w:lastRow="0" w:firstColumn="1" w:lastColumn="0" w:noHBand="0" w:noVBand="1"/>
      </w:tblPr>
      <w:tblGrid>
        <w:gridCol w:w="7853"/>
        <w:gridCol w:w="2857"/>
      </w:tblGrid>
      <w:tr w:rsidR="00592565" w:rsidRPr="00592565" w14:paraId="421FC151" w14:textId="77777777" w:rsidTr="005C4A48">
        <w:trPr>
          <w:trHeight w:val="335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7AB" w14:textId="77777777" w:rsidR="001777D4" w:rsidRPr="00592565" w:rsidRDefault="001777D4" w:rsidP="005C4A48">
            <w:pPr>
              <w:rPr>
                <w:rFonts w:ascii="Aptos Narrow" w:eastAsia="Times New Roman" w:hAnsi="Aptos Narrow"/>
              </w:rPr>
            </w:pPr>
            <w:r w:rsidRPr="00592565">
              <w:rPr>
                <w:rFonts w:ascii="Aptos Narrow" w:eastAsia="Times New Roman" w:hAnsi="Aptos Narrow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E57" w14:textId="77777777" w:rsidR="001777D4" w:rsidRPr="00592565" w:rsidRDefault="001777D4" w:rsidP="005C4A48">
            <w:pPr>
              <w:rPr>
                <w:rFonts w:ascii="Aptos Narrow" w:eastAsia="Times New Roman" w:hAnsi="Aptos Narrow"/>
              </w:rPr>
            </w:pPr>
            <w:r w:rsidRPr="00592565">
              <w:rPr>
                <w:rFonts w:ascii="Aptos Narrow" w:eastAsia="Times New Roman" w:hAnsi="Aptos Narrow"/>
              </w:rPr>
              <w:t> </w:t>
            </w:r>
          </w:p>
        </w:tc>
      </w:tr>
    </w:tbl>
    <w:p w14:paraId="574825BA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05DC4098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6DA6A989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2DC2CDF4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2563D3BF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01BF1285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1A361A69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289FFA6D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1C56EEA2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4E0D77D2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</w:p>
    <w:p w14:paraId="75BA8B40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107D1FE6" w14:textId="77777777" w:rsidR="001777D4" w:rsidRPr="00592565" w:rsidRDefault="001777D4" w:rsidP="001777D4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0460C4C0" w14:textId="337FD3DA" w:rsidR="009551AB" w:rsidRPr="00592565" w:rsidRDefault="009551AB"/>
    <w:sectPr w:rsidR="009551AB" w:rsidRPr="00592565" w:rsidSect="001777D4">
      <w:pgSz w:w="12240" w:h="15840"/>
      <w:pgMar w:top="720" w:right="720" w:bottom="720" w:left="720" w:header="720" w:footer="720" w:gutter="0"/>
      <w:pgBorders w:offsetFrom="page">
        <w:top w:val="single" w:sz="8" w:space="24" w:color="004200"/>
        <w:left w:val="single" w:sz="8" w:space="24" w:color="004200"/>
        <w:bottom w:val="single" w:sz="8" w:space="24" w:color="004200"/>
        <w:right w:val="single" w:sz="8" w:space="24" w:color="0042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1BBC"/>
    <w:multiLevelType w:val="hybridMultilevel"/>
    <w:tmpl w:val="2C6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E5"/>
    <w:multiLevelType w:val="hybridMultilevel"/>
    <w:tmpl w:val="FAA0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10AAB"/>
    <w:multiLevelType w:val="hybridMultilevel"/>
    <w:tmpl w:val="00C0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A727F"/>
    <w:multiLevelType w:val="hybridMultilevel"/>
    <w:tmpl w:val="6DC4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71A9D"/>
    <w:multiLevelType w:val="hybridMultilevel"/>
    <w:tmpl w:val="495E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6308">
    <w:abstractNumId w:val="0"/>
  </w:num>
  <w:num w:numId="2" w16cid:durableId="1187598647">
    <w:abstractNumId w:val="3"/>
  </w:num>
  <w:num w:numId="3" w16cid:durableId="379673839">
    <w:abstractNumId w:val="2"/>
  </w:num>
  <w:num w:numId="4" w16cid:durableId="94207778">
    <w:abstractNumId w:val="1"/>
  </w:num>
  <w:num w:numId="5" w16cid:durableId="76206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4"/>
    <w:rsid w:val="0012205D"/>
    <w:rsid w:val="001777D4"/>
    <w:rsid w:val="00235A59"/>
    <w:rsid w:val="00316E86"/>
    <w:rsid w:val="00471EF2"/>
    <w:rsid w:val="00592565"/>
    <w:rsid w:val="005C2738"/>
    <w:rsid w:val="005F0D26"/>
    <w:rsid w:val="00645109"/>
    <w:rsid w:val="00666D2C"/>
    <w:rsid w:val="00702AD6"/>
    <w:rsid w:val="00724BC1"/>
    <w:rsid w:val="007576A2"/>
    <w:rsid w:val="007C6F4A"/>
    <w:rsid w:val="007F1CEA"/>
    <w:rsid w:val="008F2DEC"/>
    <w:rsid w:val="009551AB"/>
    <w:rsid w:val="009D4502"/>
    <w:rsid w:val="009E6C82"/>
    <w:rsid w:val="00B17585"/>
    <w:rsid w:val="00C30A93"/>
    <w:rsid w:val="00CA233F"/>
    <w:rsid w:val="00CE666D"/>
    <w:rsid w:val="00D905F8"/>
    <w:rsid w:val="00E2472E"/>
    <w:rsid w:val="00EA2D2F"/>
    <w:rsid w:val="00FB58D0"/>
    <w:rsid w:val="00FB666A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49C"/>
  <w15:chartTrackingRefBased/>
  <w15:docId w15:val="{C1CD5A88-E59D-4AF3-849F-2D80D9D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7D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77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mart.waukeshabank.com/v2/imagebucket/waukeshabank.com/waukeshastatebank_logo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ukeshaban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mart.waukeshabank.com/v2/imagebucket/waukeshabank.com/waukeshastatebank_logo.png" TargetMode="External"/><Relationship Id="rId5" Type="http://schemas.openxmlformats.org/officeDocument/2006/relationships/hyperlink" Target="https://www.waukeshaban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Nace, Felicia</dc:creator>
  <cp:keywords/>
  <dc:description/>
  <cp:lastModifiedBy>Johnson, Michele</cp:lastModifiedBy>
  <cp:revision>2</cp:revision>
  <dcterms:created xsi:type="dcterms:W3CDTF">2025-01-31T13:59:00Z</dcterms:created>
  <dcterms:modified xsi:type="dcterms:W3CDTF">2025-01-31T13:59:00Z</dcterms:modified>
</cp:coreProperties>
</file>